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300" w:rsidRPr="00C87E5F" w:rsidRDefault="00801300" w:rsidP="00801300">
      <w:pPr>
        <w:jc w:val="center"/>
        <w:rPr>
          <w:rFonts w:cstheme="minorHAnsi"/>
        </w:rPr>
      </w:pPr>
    </w:p>
    <w:p w:rsidR="00801300" w:rsidRPr="00C87E5F" w:rsidRDefault="00801300" w:rsidP="00801300">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C87E5F">
        <w:rPr>
          <w:rStyle w:val="Strong"/>
          <w:rFonts w:asciiTheme="minorHAnsi" w:hAnsiTheme="minorHAnsi" w:cstheme="minorHAnsi"/>
          <w:color w:val="000000" w:themeColor="text1"/>
        </w:rPr>
        <w:t>Being part of Britain </w:t>
      </w:r>
    </w:p>
    <w:p w:rsidR="00801300" w:rsidRPr="00C87E5F" w:rsidRDefault="00801300" w:rsidP="00801300">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C87E5F">
        <w:rPr>
          <w:rFonts w:asciiTheme="minorHAnsi" w:hAnsiTheme="minorHAnsi" w:cstheme="minorHAnsi"/>
          <w:color w:val="000000" w:themeColor="text1"/>
        </w:rPr>
        <w:t>As a school, we value and celebrate the diverse cultures of our school community. Alongside this, we value and celebrate being part of Britain. In general terms, this means that we celebrate traditions, such as customs in the course of the year; for example, Remembrance Day, royal events, Children in Need, Comic Relief, Harvest festival, Guy Fawkes night, General Elections and news items, Sports Day, Christmas plays and traditions, and much more.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color w:val="000000" w:themeColor="text1"/>
        </w:rPr>
        <w:t xml:space="preserve">In EYFS, </w:t>
      </w:r>
      <w:r w:rsidRPr="00C87E5F">
        <w:rPr>
          <w:rFonts w:asciiTheme="minorHAnsi" w:hAnsiTheme="minorHAnsi" w:cstheme="minorHAnsi"/>
        </w:rPr>
        <w:t>w</w:t>
      </w:r>
      <w:r w:rsidRPr="00C87E5F">
        <w:rPr>
          <w:rFonts w:asciiTheme="minorHAnsi" w:hAnsiTheme="minorHAnsi" w:cstheme="minorHAnsi"/>
        </w:rPr>
        <w:t>e believe it is important to take a holistic approach when promoting these values through the ethos that we promote to staff, parents and carers.</w:t>
      </w:r>
      <w:r w:rsidRPr="00C87E5F">
        <w:rPr>
          <w:rFonts w:asciiTheme="minorHAnsi" w:hAnsiTheme="minorHAnsi" w:cstheme="minorHAnsi"/>
        </w:rPr>
        <w:t xml:space="preserve">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t xml:space="preserve">You will observe the following in our Nursery and Reception classes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Opportunities in which children can develop self-confidence and self-awareness.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are developing a positive sense of themselves by being encouraged to be confident in their own abilities.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make choices and decisions about what they want to explore and how they are going to use the resources accessible to them.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are learning to take turns, share, collaborate, make decisions together, negotiate and set their own rules.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are given time to talk about their experiences and adults who listen sensitively.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behave within the agreed boundaries.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are given the time and space to explore the language of feelings.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are able to take and manage their own risks, in a supportive and safe environment.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Children who are taught and supported in learning how to be part of a group.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w:t>
      </w:r>
      <w:r w:rsidRPr="00C87E5F">
        <w:rPr>
          <w:rFonts w:asciiTheme="minorHAnsi" w:hAnsiTheme="minorHAnsi" w:cstheme="minorHAnsi"/>
        </w:rPr>
        <w:t>An EYFS team</w:t>
      </w:r>
      <w:r w:rsidRPr="00C87E5F">
        <w:rPr>
          <w:rFonts w:asciiTheme="minorHAnsi" w:hAnsiTheme="minorHAnsi" w:cstheme="minorHAnsi"/>
        </w:rPr>
        <w:t xml:space="preserve"> who value and listen to all children’s views, demonstrating the importance of listening to and respecting others.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w:t>
      </w:r>
      <w:r w:rsidRPr="00C87E5F">
        <w:rPr>
          <w:rFonts w:asciiTheme="minorHAnsi" w:hAnsiTheme="minorHAnsi" w:cstheme="minorHAnsi"/>
        </w:rPr>
        <w:t xml:space="preserve">An EYFS team </w:t>
      </w:r>
      <w:r w:rsidRPr="00C87E5F">
        <w:rPr>
          <w:rFonts w:asciiTheme="minorHAnsi" w:hAnsiTheme="minorHAnsi" w:cstheme="minorHAnsi"/>
        </w:rPr>
        <w:t xml:space="preserve">who value and respond to the questions asked by children and encourage an enquiring mind through both the environment and teaching activities.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w:t>
      </w:r>
      <w:r w:rsidRPr="00C87E5F">
        <w:rPr>
          <w:rFonts w:asciiTheme="minorHAnsi" w:hAnsiTheme="minorHAnsi" w:cstheme="minorHAnsi"/>
        </w:rPr>
        <w:t>An EYFS team</w:t>
      </w:r>
      <w:r w:rsidRPr="00C87E5F">
        <w:rPr>
          <w:rFonts w:asciiTheme="minorHAnsi" w:hAnsiTheme="minorHAnsi" w:cstheme="minorHAnsi"/>
        </w:rPr>
        <w:t xml:space="preserve"> who set and maintain clear rules and boundaries within the setting which are explained and reinforced. </w:t>
      </w:r>
    </w:p>
    <w:p w:rsidR="00C87E5F" w:rsidRPr="00C87E5F" w:rsidRDefault="00C87E5F" w:rsidP="00801300">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lastRenderedPageBreak/>
        <w:sym w:font="Symbol" w:char="F0B7"/>
      </w:r>
      <w:r w:rsidRPr="00C87E5F">
        <w:rPr>
          <w:rFonts w:asciiTheme="minorHAnsi" w:hAnsiTheme="minorHAnsi" w:cstheme="minorHAnsi"/>
        </w:rPr>
        <w:t xml:space="preserve"> </w:t>
      </w:r>
      <w:r w:rsidRPr="00C87E5F">
        <w:rPr>
          <w:rFonts w:asciiTheme="minorHAnsi" w:hAnsiTheme="minorHAnsi" w:cstheme="minorHAnsi"/>
        </w:rPr>
        <w:t>An EYFS team</w:t>
      </w:r>
      <w:r w:rsidRPr="00C87E5F">
        <w:rPr>
          <w:rFonts w:asciiTheme="minorHAnsi" w:hAnsiTheme="minorHAnsi" w:cstheme="minorHAnsi"/>
        </w:rPr>
        <w:t xml:space="preserve"> who use praise to celebrate achievements. </w:t>
      </w:r>
    </w:p>
    <w:p w:rsidR="00C87E5F" w:rsidRPr="00C87E5F" w:rsidRDefault="00C87E5F" w:rsidP="00C87E5F">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sym w:font="Symbol" w:char="F0B7"/>
      </w:r>
      <w:r w:rsidRPr="00C87E5F">
        <w:rPr>
          <w:rFonts w:asciiTheme="minorHAnsi" w:hAnsiTheme="minorHAnsi" w:cstheme="minorHAnsi"/>
        </w:rPr>
        <w:t xml:space="preserve"> An EYFS team </w:t>
      </w:r>
      <w:r w:rsidRPr="00C87E5F">
        <w:rPr>
          <w:rFonts w:asciiTheme="minorHAnsi" w:hAnsiTheme="minorHAnsi" w:cstheme="minorHAnsi"/>
        </w:rPr>
        <w:t>who support children to manage their own feelings and children who are allowed to express their feelings in a safe environment.</w:t>
      </w:r>
    </w:p>
    <w:p w:rsidR="00C87E5F" w:rsidRPr="00C87E5F" w:rsidRDefault="00C87E5F" w:rsidP="00C87E5F">
      <w:pPr>
        <w:pStyle w:val="NormalWeb"/>
        <w:shd w:val="clear" w:color="auto" w:fill="FFFFFF"/>
        <w:spacing w:before="0" w:beforeAutospacing="0" w:after="150" w:afterAutospacing="0"/>
        <w:jc w:val="both"/>
        <w:rPr>
          <w:rFonts w:asciiTheme="minorHAnsi" w:hAnsiTheme="minorHAnsi" w:cstheme="minorHAnsi"/>
        </w:rPr>
      </w:pPr>
      <w:r w:rsidRPr="00C87E5F">
        <w:rPr>
          <w:rFonts w:asciiTheme="minorHAnsi" w:hAnsiTheme="minorHAnsi" w:cstheme="minorHAnsi"/>
        </w:rPr>
        <w:t>An EYFS team</w:t>
      </w:r>
      <w:r w:rsidRPr="00C87E5F">
        <w:rPr>
          <w:rFonts w:asciiTheme="minorHAnsi" w:hAnsiTheme="minorHAnsi" w:cstheme="minorHAnsi"/>
        </w:rPr>
        <w:t xml:space="preserve"> who provide opportunities for children to learn about, explore and reflect on differences between themselves and others</w:t>
      </w:r>
    </w:p>
    <w:p w:rsidR="00801300" w:rsidRDefault="00801300" w:rsidP="00801300">
      <w:pPr>
        <w:jc w:val="center"/>
      </w:pPr>
      <w:r>
        <w:rPr>
          <w:noProof/>
          <w:lang w:eastAsia="en-GB"/>
        </w:rPr>
        <w:drawing>
          <wp:inline distT="0" distB="0" distL="0" distR="0" wp14:anchorId="2065DF0A" wp14:editId="7F2A3E59">
            <wp:extent cx="906379" cy="910171"/>
            <wp:effectExtent l="0" t="0" r="8255"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6418" cy="980503"/>
                    </a:xfrm>
                    <a:prstGeom prst="rect">
                      <a:avLst/>
                    </a:prstGeom>
                  </pic:spPr>
                </pic:pic>
              </a:graphicData>
            </a:graphic>
          </wp:inline>
        </w:drawing>
      </w:r>
    </w:p>
    <w:p w:rsidR="00801300" w:rsidRDefault="00801300" w:rsidP="00801300">
      <w:pPr>
        <w:jc w:val="center"/>
        <w:rPr>
          <w:sz w:val="24"/>
          <w:szCs w:val="24"/>
        </w:rPr>
      </w:pPr>
      <w:r w:rsidRPr="00C25AF6">
        <w:rPr>
          <w:sz w:val="24"/>
          <w:szCs w:val="24"/>
        </w:rPr>
        <w:t xml:space="preserve">How is British values taught in </w:t>
      </w:r>
      <w:r w:rsidR="00C87E5F">
        <w:rPr>
          <w:sz w:val="24"/>
          <w:szCs w:val="24"/>
        </w:rPr>
        <w:t>EYFS?</w:t>
      </w:r>
    </w:p>
    <w:tbl>
      <w:tblPr>
        <w:tblStyle w:val="TableGrid"/>
        <w:tblW w:w="14879" w:type="dxa"/>
        <w:tblLook w:val="04A0" w:firstRow="1" w:lastRow="0" w:firstColumn="1" w:lastColumn="0" w:noHBand="0" w:noVBand="1"/>
      </w:tblPr>
      <w:tblGrid>
        <w:gridCol w:w="2310"/>
        <w:gridCol w:w="2411"/>
        <w:gridCol w:w="2220"/>
        <w:gridCol w:w="2194"/>
        <w:gridCol w:w="5744"/>
      </w:tblGrid>
      <w:tr w:rsidR="0067448D" w:rsidRPr="00C25AF6" w:rsidTr="00C82820">
        <w:tc>
          <w:tcPr>
            <w:tcW w:w="2310" w:type="dxa"/>
            <w:vMerge w:val="restart"/>
          </w:tcPr>
          <w:p w:rsidR="00904697" w:rsidRPr="00C25AF6" w:rsidRDefault="00904697" w:rsidP="00BC4036">
            <w:pPr>
              <w:pStyle w:val="NormalWeb"/>
              <w:spacing w:before="0" w:beforeAutospacing="0" w:after="0" w:afterAutospacing="0"/>
              <w:ind w:left="-360"/>
              <w:jc w:val="center"/>
              <w:textAlignment w:val="top"/>
              <w:rPr>
                <w:rFonts w:ascii="Tahoma" w:hAnsi="Tahoma" w:cs="Tahoma"/>
                <w:sz w:val="23"/>
                <w:szCs w:val="23"/>
              </w:rPr>
            </w:pPr>
            <w:r w:rsidRPr="00A707D4">
              <w:rPr>
                <w:rFonts w:ascii="Tahoma" w:hAnsi="Tahoma" w:cs="Tahoma"/>
                <w:noProof/>
                <w:sz w:val="23"/>
                <w:szCs w:val="23"/>
              </w:rPr>
              <w:drawing>
                <wp:inline distT="0" distB="0" distL="0" distR="0" wp14:anchorId="3A4B8CD1" wp14:editId="7F65FB9F">
                  <wp:extent cx="633046" cy="91324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0898" cy="953426"/>
                          </a:xfrm>
                          <a:prstGeom prst="rect">
                            <a:avLst/>
                          </a:prstGeom>
                        </pic:spPr>
                      </pic:pic>
                    </a:graphicData>
                  </a:graphic>
                </wp:inline>
              </w:drawing>
            </w:r>
          </w:p>
          <w:p w:rsidR="00904697" w:rsidRPr="00C25AF6" w:rsidRDefault="00904697" w:rsidP="00BC4036">
            <w:pPr>
              <w:pStyle w:val="NormalWeb"/>
              <w:spacing w:before="0" w:beforeAutospacing="0" w:after="0" w:afterAutospacing="0"/>
              <w:ind w:left="-360"/>
              <w:jc w:val="center"/>
              <w:textAlignment w:val="top"/>
            </w:pPr>
          </w:p>
        </w:tc>
        <w:tc>
          <w:tcPr>
            <w:tcW w:w="2411" w:type="dxa"/>
            <w:vMerge w:val="restart"/>
          </w:tcPr>
          <w:p w:rsidR="00904697" w:rsidRPr="00A707D4" w:rsidRDefault="00904697" w:rsidP="00BC4036">
            <w:pPr>
              <w:pStyle w:val="NormalWeb"/>
              <w:spacing w:before="0" w:beforeAutospacing="0" w:after="0" w:afterAutospacing="0"/>
              <w:textAlignment w:val="top"/>
              <w:rPr>
                <w:rFonts w:ascii="Arial" w:hAnsi="Arial" w:cs="Arial"/>
                <w:sz w:val="23"/>
                <w:szCs w:val="23"/>
                <w:bdr w:val="none" w:sz="0" w:space="0" w:color="auto" w:frame="1"/>
              </w:rPr>
            </w:pPr>
            <w:r w:rsidRPr="00A707D4">
              <w:rPr>
                <w:rFonts w:ascii="Tahoma" w:hAnsi="Tahoma" w:cs="Tahoma"/>
                <w:noProof/>
                <w:sz w:val="23"/>
                <w:szCs w:val="23"/>
              </w:rPr>
              <w:drawing>
                <wp:anchor distT="0" distB="0" distL="114300" distR="114300" simplePos="0" relativeHeight="251663360" behindDoc="0" locked="0" layoutInCell="1" allowOverlap="1" wp14:anchorId="067310D4" wp14:editId="0759577B">
                  <wp:simplePos x="0" y="0"/>
                  <wp:positionH relativeFrom="column">
                    <wp:posOffset>381635</wp:posOffset>
                  </wp:positionH>
                  <wp:positionV relativeFrom="paragraph">
                    <wp:posOffset>46355</wp:posOffset>
                  </wp:positionV>
                  <wp:extent cx="702945" cy="80899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945" cy="808990"/>
                          </a:xfrm>
                          <a:prstGeom prst="rect">
                            <a:avLst/>
                          </a:prstGeom>
                        </pic:spPr>
                      </pic:pic>
                    </a:graphicData>
                  </a:graphic>
                  <wp14:sizeRelH relativeFrom="margin">
                    <wp14:pctWidth>0</wp14:pctWidth>
                  </wp14:sizeRelH>
                  <wp14:sizeRelV relativeFrom="margin">
                    <wp14:pctHeight>0</wp14:pctHeight>
                  </wp14:sizeRelV>
                </wp:anchor>
              </w:drawing>
            </w:r>
          </w:p>
        </w:tc>
        <w:tc>
          <w:tcPr>
            <w:tcW w:w="2220" w:type="dxa"/>
            <w:vMerge w:val="restart"/>
          </w:tcPr>
          <w:p w:rsidR="00904697" w:rsidRPr="00A707D4" w:rsidRDefault="00904697" w:rsidP="00BC4036">
            <w:pPr>
              <w:pStyle w:val="NormalWeb"/>
              <w:spacing w:before="0" w:beforeAutospacing="0" w:after="0" w:afterAutospacing="0"/>
              <w:textAlignment w:val="top"/>
              <w:rPr>
                <w:rFonts w:ascii="Tahoma" w:hAnsi="Tahoma" w:cs="Tahoma"/>
                <w:sz w:val="23"/>
                <w:szCs w:val="23"/>
              </w:rPr>
            </w:pPr>
            <w:r w:rsidRPr="00A707D4">
              <w:rPr>
                <w:rFonts w:ascii="Tahoma" w:hAnsi="Tahoma" w:cs="Tahoma"/>
                <w:noProof/>
                <w:sz w:val="23"/>
                <w:szCs w:val="23"/>
              </w:rPr>
              <w:drawing>
                <wp:anchor distT="0" distB="0" distL="114300" distR="114300" simplePos="0" relativeHeight="251664384" behindDoc="0" locked="0" layoutInCell="1" allowOverlap="1" wp14:anchorId="097DC195" wp14:editId="387837F0">
                  <wp:simplePos x="0" y="0"/>
                  <wp:positionH relativeFrom="column">
                    <wp:posOffset>456565</wp:posOffset>
                  </wp:positionH>
                  <wp:positionV relativeFrom="paragraph">
                    <wp:posOffset>2540</wp:posOffset>
                  </wp:positionV>
                  <wp:extent cx="588010" cy="869950"/>
                  <wp:effectExtent l="0" t="0" r="254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010" cy="86995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gridSpan w:val="2"/>
          </w:tcPr>
          <w:p w:rsidR="00904697" w:rsidRPr="00C25AF6" w:rsidRDefault="00904697" w:rsidP="00BC4036">
            <w:pPr>
              <w:pStyle w:val="NormalWeb"/>
              <w:spacing w:before="0" w:beforeAutospacing="0" w:after="0" w:afterAutospacing="0"/>
              <w:ind w:left="-360"/>
              <w:jc w:val="center"/>
              <w:textAlignment w:val="top"/>
            </w:pPr>
            <w:r w:rsidRPr="00A707D4">
              <w:rPr>
                <w:noProof/>
              </w:rPr>
              <w:drawing>
                <wp:anchor distT="0" distB="0" distL="114300" distR="114300" simplePos="0" relativeHeight="251665408" behindDoc="0" locked="0" layoutInCell="1" allowOverlap="1" wp14:anchorId="7706BE9C" wp14:editId="58CB715D">
                  <wp:simplePos x="0" y="0"/>
                  <wp:positionH relativeFrom="column">
                    <wp:posOffset>748030</wp:posOffset>
                  </wp:positionH>
                  <wp:positionV relativeFrom="paragraph">
                    <wp:posOffset>0</wp:posOffset>
                  </wp:positionV>
                  <wp:extent cx="579120" cy="7721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 cy="772160"/>
                          </a:xfrm>
                          <a:prstGeom prst="rect">
                            <a:avLst/>
                          </a:prstGeom>
                        </pic:spPr>
                      </pic:pic>
                    </a:graphicData>
                  </a:graphic>
                  <wp14:sizeRelH relativeFrom="margin">
                    <wp14:pctWidth>0</wp14:pctWidth>
                  </wp14:sizeRelH>
                  <wp14:sizeRelV relativeFrom="margin">
                    <wp14:pctHeight>0</wp14:pctHeight>
                  </wp14:sizeRelV>
                </wp:anchor>
              </w:drawing>
            </w:r>
          </w:p>
        </w:tc>
      </w:tr>
      <w:tr w:rsidR="0067448D" w:rsidRPr="00C25AF6" w:rsidTr="00C82820">
        <w:tc>
          <w:tcPr>
            <w:tcW w:w="2310" w:type="dxa"/>
            <w:vMerge/>
            <w:tcBorders>
              <w:bottom w:val="single" w:sz="4" w:space="0" w:color="auto"/>
            </w:tcBorders>
          </w:tcPr>
          <w:p w:rsidR="00904697" w:rsidRPr="00A707D4" w:rsidRDefault="00904697" w:rsidP="00BC4036">
            <w:pPr>
              <w:pStyle w:val="NormalWeb"/>
              <w:spacing w:before="0" w:beforeAutospacing="0" w:after="0" w:afterAutospacing="0"/>
              <w:ind w:left="-360"/>
              <w:jc w:val="center"/>
              <w:textAlignment w:val="top"/>
              <w:rPr>
                <w:rFonts w:ascii="Tahoma" w:hAnsi="Tahoma" w:cs="Tahoma"/>
                <w:noProof/>
                <w:sz w:val="23"/>
                <w:szCs w:val="23"/>
              </w:rPr>
            </w:pPr>
          </w:p>
        </w:tc>
        <w:tc>
          <w:tcPr>
            <w:tcW w:w="2411" w:type="dxa"/>
            <w:vMerge/>
          </w:tcPr>
          <w:p w:rsidR="00904697" w:rsidRPr="00A707D4" w:rsidRDefault="00904697" w:rsidP="00BC4036">
            <w:pPr>
              <w:pStyle w:val="NormalWeb"/>
              <w:spacing w:before="0" w:beforeAutospacing="0" w:after="0" w:afterAutospacing="0"/>
              <w:textAlignment w:val="top"/>
              <w:rPr>
                <w:rFonts w:ascii="Tahoma" w:hAnsi="Tahoma" w:cs="Tahoma"/>
                <w:noProof/>
                <w:sz w:val="23"/>
                <w:szCs w:val="23"/>
              </w:rPr>
            </w:pPr>
          </w:p>
        </w:tc>
        <w:tc>
          <w:tcPr>
            <w:tcW w:w="2220" w:type="dxa"/>
            <w:vMerge/>
          </w:tcPr>
          <w:p w:rsidR="00904697" w:rsidRPr="00A707D4" w:rsidRDefault="00904697" w:rsidP="00BC4036">
            <w:pPr>
              <w:pStyle w:val="NormalWeb"/>
              <w:spacing w:before="0" w:beforeAutospacing="0" w:after="0" w:afterAutospacing="0"/>
              <w:textAlignment w:val="top"/>
              <w:rPr>
                <w:rFonts w:ascii="Tahoma" w:hAnsi="Tahoma" w:cs="Tahoma"/>
                <w:noProof/>
                <w:sz w:val="23"/>
                <w:szCs w:val="23"/>
              </w:rPr>
            </w:pPr>
          </w:p>
        </w:tc>
        <w:tc>
          <w:tcPr>
            <w:tcW w:w="2194" w:type="dxa"/>
          </w:tcPr>
          <w:p w:rsidR="00904697" w:rsidRPr="00A707D4" w:rsidRDefault="00904697" w:rsidP="00BC4036">
            <w:pPr>
              <w:pStyle w:val="NormalWeb"/>
              <w:spacing w:before="0" w:beforeAutospacing="0" w:after="0" w:afterAutospacing="0"/>
              <w:ind w:left="-360"/>
              <w:jc w:val="center"/>
              <w:textAlignment w:val="top"/>
              <w:rPr>
                <w:noProof/>
              </w:rPr>
            </w:pPr>
            <w:r w:rsidRPr="00BD1A2F">
              <w:rPr>
                <w:rFonts w:asciiTheme="minorHAnsi" w:hAnsiTheme="minorHAnsi" w:cstheme="minorHAnsi"/>
              </w:rPr>
              <w:t>Mutual Respect</w:t>
            </w:r>
          </w:p>
        </w:tc>
        <w:tc>
          <w:tcPr>
            <w:tcW w:w="5744" w:type="dxa"/>
          </w:tcPr>
          <w:p w:rsidR="00904697" w:rsidRPr="00A707D4" w:rsidRDefault="00904697" w:rsidP="00BC4036">
            <w:pPr>
              <w:pStyle w:val="NormalWeb"/>
              <w:spacing w:before="0" w:beforeAutospacing="0" w:after="0" w:afterAutospacing="0"/>
              <w:jc w:val="center"/>
              <w:textAlignment w:val="top"/>
              <w:rPr>
                <w:noProof/>
              </w:rPr>
            </w:pPr>
            <w:r w:rsidRPr="00BD1A2F">
              <w:rPr>
                <w:rFonts w:asciiTheme="minorHAnsi" w:hAnsiTheme="minorHAnsi" w:cstheme="minorHAnsi"/>
              </w:rPr>
              <w:t>Tolerance of those of different faiths and beliefs</w:t>
            </w:r>
          </w:p>
        </w:tc>
      </w:tr>
      <w:tr w:rsidR="0067448D" w:rsidRPr="00C25AF6" w:rsidTr="00C82820">
        <w:tc>
          <w:tcPr>
            <w:tcW w:w="2310" w:type="dxa"/>
            <w:shd w:val="clear" w:color="auto" w:fill="F7CAAC" w:themeFill="accent2" w:themeFillTint="66"/>
          </w:tcPr>
          <w:p w:rsidR="0067448D" w:rsidRPr="0067448D" w:rsidRDefault="0067448D" w:rsidP="0067448D">
            <w:pPr>
              <w:numPr>
                <w:ilvl w:val="0"/>
                <w:numId w:val="1"/>
              </w:numPr>
              <w:textAlignment w:val="top"/>
              <w:rPr>
                <w:rFonts w:eastAsia="Times New Roman" w:cstheme="minorHAnsi"/>
                <w:lang w:eastAsia="en-GB"/>
              </w:rPr>
            </w:pPr>
            <w:r>
              <w:rPr>
                <w:rFonts w:eastAsia="Times New Roman" w:cstheme="minorHAnsi"/>
                <w:lang w:eastAsia="en-GB"/>
              </w:rPr>
              <w:t xml:space="preserve">Understanding the Behaviour system – Happy face, golden star </w:t>
            </w:r>
            <w:proofErr w:type="spellStart"/>
            <w:r>
              <w:rPr>
                <w:rFonts w:eastAsia="Times New Roman" w:cstheme="minorHAnsi"/>
                <w:lang w:eastAsia="en-GB"/>
              </w:rPr>
              <w:t>ect</w:t>
            </w:r>
            <w:proofErr w:type="spellEnd"/>
            <w:r>
              <w:rPr>
                <w:rFonts w:eastAsia="Times New Roman" w:cstheme="minorHAnsi"/>
                <w:lang w:eastAsia="en-GB"/>
              </w:rPr>
              <w:t>…</w:t>
            </w:r>
          </w:p>
          <w:p w:rsidR="00904697" w:rsidRPr="00A707D4" w:rsidRDefault="00904697" w:rsidP="00BC4036">
            <w:pPr>
              <w:numPr>
                <w:ilvl w:val="0"/>
                <w:numId w:val="1"/>
              </w:numPr>
              <w:textAlignment w:val="top"/>
              <w:rPr>
                <w:rFonts w:eastAsia="Times New Roman" w:cstheme="minorHAnsi"/>
                <w:lang w:eastAsia="en-GB"/>
              </w:rPr>
            </w:pPr>
            <w:r w:rsidRPr="00A707D4">
              <w:rPr>
                <w:rFonts w:eastAsia="Times New Roman" w:cstheme="minorHAnsi"/>
                <w:bdr w:val="none" w:sz="0" w:space="0" w:color="auto" w:frame="1"/>
                <w:lang w:eastAsia="en-GB"/>
              </w:rPr>
              <w:t>Display of class rules in each classroom,</w:t>
            </w:r>
          </w:p>
          <w:p w:rsidR="00904697" w:rsidRPr="00A707D4" w:rsidRDefault="0067448D" w:rsidP="00BC4036">
            <w:pPr>
              <w:numPr>
                <w:ilvl w:val="0"/>
                <w:numId w:val="1"/>
              </w:numPr>
              <w:textAlignment w:val="top"/>
              <w:rPr>
                <w:rFonts w:eastAsia="Times New Roman" w:cstheme="minorHAnsi"/>
                <w:lang w:eastAsia="en-GB"/>
              </w:rPr>
            </w:pPr>
            <w:r>
              <w:rPr>
                <w:rFonts w:eastAsia="Times New Roman" w:cstheme="minorHAnsi"/>
                <w:bdr w:val="none" w:sz="0" w:space="0" w:color="auto" w:frame="1"/>
                <w:lang w:eastAsia="en-GB"/>
              </w:rPr>
              <w:t xml:space="preserve">Outside area expectations </w:t>
            </w:r>
            <w:r w:rsidR="00904697" w:rsidRPr="00A707D4">
              <w:rPr>
                <w:rFonts w:eastAsia="Times New Roman" w:cstheme="minorHAnsi"/>
                <w:bdr w:val="none" w:sz="0" w:space="0" w:color="auto" w:frame="1"/>
                <w:lang w:eastAsia="en-GB"/>
              </w:rPr>
              <w:t>(</w:t>
            </w:r>
            <w:r>
              <w:rPr>
                <w:rFonts w:eastAsia="Times New Roman" w:cstheme="minorHAnsi"/>
                <w:bdr w:val="none" w:sz="0" w:space="0" w:color="auto" w:frame="1"/>
                <w:lang w:eastAsia="en-GB"/>
              </w:rPr>
              <w:t>Tidy time</w:t>
            </w:r>
            <w:r w:rsidR="00904697" w:rsidRPr="00B70DFC">
              <w:rPr>
                <w:rFonts w:eastAsia="Times New Roman" w:cstheme="minorHAnsi"/>
                <w:bdr w:val="none" w:sz="0" w:space="0" w:color="auto" w:frame="1"/>
                <w:lang w:eastAsia="en-GB"/>
              </w:rPr>
              <w:t>)</w:t>
            </w:r>
          </w:p>
          <w:p w:rsidR="00876347" w:rsidRPr="00876347" w:rsidRDefault="00904697" w:rsidP="00876347">
            <w:pPr>
              <w:numPr>
                <w:ilvl w:val="0"/>
                <w:numId w:val="1"/>
              </w:numPr>
              <w:textAlignment w:val="top"/>
              <w:rPr>
                <w:rFonts w:eastAsia="Times New Roman" w:cstheme="minorHAnsi"/>
                <w:lang w:eastAsia="en-GB"/>
              </w:rPr>
            </w:pPr>
            <w:r w:rsidRPr="00B70DFC">
              <w:rPr>
                <w:rFonts w:eastAsia="Times New Roman" w:cstheme="minorHAnsi"/>
                <w:bdr w:val="none" w:sz="0" w:space="0" w:color="auto" w:frame="1"/>
                <w:lang w:eastAsia="en-GB"/>
              </w:rPr>
              <w:t xml:space="preserve">Visits from authorities such as the police and fire </w:t>
            </w:r>
            <w:r w:rsidRPr="00B70DFC">
              <w:rPr>
                <w:rFonts w:eastAsia="Times New Roman" w:cstheme="minorHAnsi"/>
                <w:bdr w:val="none" w:sz="0" w:space="0" w:color="auto" w:frame="1"/>
                <w:lang w:eastAsia="en-GB"/>
              </w:rPr>
              <w:lastRenderedPageBreak/>
              <w:t>service</w:t>
            </w:r>
            <w:r w:rsidR="00C82820">
              <w:rPr>
                <w:rFonts w:eastAsia="Times New Roman" w:cstheme="minorHAnsi"/>
                <w:bdr w:val="none" w:sz="0" w:space="0" w:color="auto" w:frame="1"/>
                <w:lang w:eastAsia="en-GB"/>
              </w:rPr>
              <w:t xml:space="preserve"> – People Who Help U</w:t>
            </w:r>
            <w:r w:rsidR="00876347">
              <w:rPr>
                <w:rFonts w:eastAsia="Times New Roman" w:cstheme="minorHAnsi"/>
                <w:bdr w:val="none" w:sz="0" w:space="0" w:color="auto" w:frame="1"/>
                <w:lang w:eastAsia="en-GB"/>
              </w:rPr>
              <w:t xml:space="preserve">s. </w:t>
            </w:r>
          </w:p>
          <w:p w:rsidR="00904697" w:rsidRPr="00B70DFC" w:rsidRDefault="00904697" w:rsidP="00BC4036">
            <w:pPr>
              <w:rPr>
                <w:rFonts w:cstheme="minorHAnsi"/>
              </w:rPr>
            </w:pPr>
          </w:p>
        </w:tc>
        <w:tc>
          <w:tcPr>
            <w:tcW w:w="2411" w:type="dxa"/>
            <w:shd w:val="clear" w:color="auto" w:fill="FF7C80"/>
          </w:tcPr>
          <w:p w:rsidR="00904697" w:rsidRPr="00B70DFC" w:rsidRDefault="00904697" w:rsidP="00BC4036">
            <w:pPr>
              <w:pStyle w:val="ListParagraph"/>
              <w:numPr>
                <w:ilvl w:val="0"/>
                <w:numId w:val="1"/>
              </w:numPr>
              <w:shd w:val="clear" w:color="auto" w:fill="FF7C80"/>
              <w:textAlignment w:val="top"/>
              <w:rPr>
                <w:rFonts w:eastAsia="Times New Roman" w:cstheme="minorHAnsi"/>
                <w:lang w:eastAsia="en-GB"/>
              </w:rPr>
            </w:pPr>
            <w:r w:rsidRPr="00B70DFC">
              <w:rPr>
                <w:rFonts w:eastAsia="Times New Roman" w:cstheme="minorHAnsi"/>
                <w:lang w:eastAsia="en-GB"/>
              </w:rPr>
              <w:lastRenderedPageBreak/>
              <w:t xml:space="preserve">Choice of learning opportunities </w:t>
            </w:r>
            <w:r w:rsidR="00C82820">
              <w:rPr>
                <w:rFonts w:eastAsia="Times New Roman" w:cstheme="minorHAnsi"/>
                <w:lang w:eastAsia="en-GB"/>
              </w:rPr>
              <w:t>through exploration and play</w:t>
            </w:r>
            <w:r w:rsidR="0067448D">
              <w:rPr>
                <w:rFonts w:eastAsia="Times New Roman" w:cstheme="minorHAnsi"/>
                <w:lang w:eastAsia="en-GB"/>
              </w:rPr>
              <w:t xml:space="preserve"> – Voting for story selections/ choice of snacks </w:t>
            </w:r>
          </w:p>
          <w:p w:rsidR="00904697" w:rsidRPr="00B70DFC" w:rsidRDefault="0067448D" w:rsidP="00BC4036">
            <w:pPr>
              <w:pStyle w:val="ListParagraph"/>
              <w:numPr>
                <w:ilvl w:val="0"/>
                <w:numId w:val="1"/>
              </w:numPr>
              <w:shd w:val="clear" w:color="auto" w:fill="FF7C80"/>
              <w:textAlignment w:val="top"/>
              <w:rPr>
                <w:rFonts w:eastAsia="Times New Roman" w:cstheme="minorHAnsi"/>
                <w:lang w:eastAsia="en-GB"/>
              </w:rPr>
            </w:pPr>
            <w:r>
              <w:rPr>
                <w:rFonts w:eastAsia="Times New Roman" w:cstheme="minorHAnsi"/>
                <w:lang w:eastAsia="en-GB"/>
              </w:rPr>
              <w:t xml:space="preserve">Taking choice and ownership of learning </w:t>
            </w:r>
          </w:p>
          <w:p w:rsidR="00904697" w:rsidRPr="00B70DFC" w:rsidRDefault="00904697" w:rsidP="00BC4036">
            <w:pPr>
              <w:rPr>
                <w:rFonts w:cstheme="minorHAnsi"/>
              </w:rPr>
            </w:pPr>
          </w:p>
        </w:tc>
        <w:tc>
          <w:tcPr>
            <w:tcW w:w="2220" w:type="dxa"/>
            <w:shd w:val="clear" w:color="auto" w:fill="C5E0B3" w:themeFill="accent6" w:themeFillTint="66"/>
          </w:tcPr>
          <w:p w:rsidR="0067448D" w:rsidRDefault="0067448D" w:rsidP="00BC4036">
            <w:pPr>
              <w:pStyle w:val="ListParagraph"/>
              <w:numPr>
                <w:ilvl w:val="0"/>
                <w:numId w:val="1"/>
              </w:numPr>
              <w:rPr>
                <w:rFonts w:cstheme="minorHAnsi"/>
              </w:rPr>
            </w:pPr>
            <w:r>
              <w:rPr>
                <w:rFonts w:cstheme="minorHAnsi"/>
              </w:rPr>
              <w:t xml:space="preserve">Resilience tree </w:t>
            </w:r>
          </w:p>
          <w:p w:rsidR="0067448D" w:rsidRDefault="0067448D" w:rsidP="00BC4036">
            <w:pPr>
              <w:pStyle w:val="ListParagraph"/>
              <w:numPr>
                <w:ilvl w:val="0"/>
                <w:numId w:val="1"/>
              </w:numPr>
              <w:rPr>
                <w:rFonts w:cstheme="minorHAnsi"/>
              </w:rPr>
            </w:pPr>
            <w:r>
              <w:rPr>
                <w:rFonts w:cstheme="minorHAnsi"/>
              </w:rPr>
              <w:t xml:space="preserve">Bucket fillers </w:t>
            </w:r>
          </w:p>
          <w:p w:rsidR="00904697" w:rsidRPr="00B70DFC" w:rsidRDefault="00904697" w:rsidP="00BC4036">
            <w:pPr>
              <w:pStyle w:val="ListParagraph"/>
              <w:numPr>
                <w:ilvl w:val="0"/>
                <w:numId w:val="1"/>
              </w:numPr>
              <w:rPr>
                <w:rFonts w:cstheme="minorHAnsi"/>
              </w:rPr>
            </w:pPr>
            <w:r w:rsidRPr="00B70DFC">
              <w:rPr>
                <w:rFonts w:cstheme="minorHAnsi"/>
              </w:rPr>
              <w:t>Home/school agreements</w:t>
            </w:r>
          </w:p>
          <w:p w:rsidR="00904697" w:rsidRPr="00B70DFC" w:rsidRDefault="00904697" w:rsidP="00BC4036">
            <w:pPr>
              <w:numPr>
                <w:ilvl w:val="0"/>
                <w:numId w:val="1"/>
              </w:numPr>
              <w:textAlignment w:val="top"/>
              <w:rPr>
                <w:rFonts w:eastAsia="Times New Roman" w:cstheme="minorHAnsi"/>
                <w:lang w:eastAsia="en-GB"/>
              </w:rPr>
            </w:pPr>
            <w:r w:rsidRPr="00B70DFC">
              <w:rPr>
                <w:rFonts w:eastAsia="Times New Roman" w:cstheme="minorHAnsi"/>
                <w:bdr w:val="none" w:sz="0" w:space="0" w:color="auto" w:frame="1"/>
                <w:lang w:eastAsia="en-GB"/>
              </w:rPr>
              <w:t>Children’s key roles and responsibilities</w:t>
            </w:r>
          </w:p>
          <w:p w:rsidR="00C82820" w:rsidRPr="0067448D" w:rsidRDefault="00904697" w:rsidP="0067448D">
            <w:pPr>
              <w:pStyle w:val="ListParagraph"/>
              <w:numPr>
                <w:ilvl w:val="0"/>
                <w:numId w:val="3"/>
              </w:numPr>
              <w:rPr>
                <w:rFonts w:cstheme="minorHAnsi"/>
              </w:rPr>
            </w:pPr>
            <w:r>
              <w:t>Take part in an annual service of Remembranc</w:t>
            </w:r>
            <w:r w:rsidR="0067448D">
              <w:t xml:space="preserve">e </w:t>
            </w:r>
            <w:bookmarkStart w:id="0" w:name="_GoBack"/>
            <w:bookmarkEnd w:id="0"/>
          </w:p>
        </w:tc>
        <w:tc>
          <w:tcPr>
            <w:tcW w:w="7938" w:type="dxa"/>
            <w:gridSpan w:val="2"/>
            <w:shd w:val="clear" w:color="auto" w:fill="B4C6E7" w:themeFill="accent1" w:themeFillTint="66"/>
          </w:tcPr>
          <w:p w:rsidR="00904697" w:rsidRPr="00B70DFC" w:rsidRDefault="00904697" w:rsidP="00BC4036">
            <w:pPr>
              <w:pStyle w:val="ListParagraph"/>
              <w:numPr>
                <w:ilvl w:val="0"/>
                <w:numId w:val="1"/>
              </w:numPr>
              <w:rPr>
                <w:rFonts w:cstheme="minorHAnsi"/>
              </w:rPr>
            </w:pPr>
            <w:r w:rsidRPr="00B70DFC">
              <w:rPr>
                <w:rFonts w:cstheme="minorHAnsi"/>
              </w:rPr>
              <w:t>Equalities Policy</w:t>
            </w:r>
          </w:p>
          <w:p w:rsidR="00904697" w:rsidRPr="00B70DFC" w:rsidRDefault="00904697" w:rsidP="00BC4036">
            <w:pPr>
              <w:numPr>
                <w:ilvl w:val="0"/>
                <w:numId w:val="1"/>
              </w:numPr>
              <w:textAlignment w:val="top"/>
              <w:rPr>
                <w:rFonts w:eastAsia="Times New Roman" w:cstheme="minorHAnsi"/>
                <w:lang w:eastAsia="en-GB"/>
              </w:rPr>
            </w:pPr>
            <w:r w:rsidRPr="00B70DFC">
              <w:rPr>
                <w:rFonts w:eastAsia="Times New Roman" w:cstheme="minorHAnsi"/>
                <w:bdr w:val="none" w:sz="0" w:space="0" w:color="auto" w:frame="1"/>
                <w:lang w:eastAsia="en-GB"/>
              </w:rPr>
              <w:t>Behaviour policy</w:t>
            </w:r>
          </w:p>
          <w:p w:rsidR="00904697" w:rsidRPr="00B70DFC" w:rsidRDefault="00904697" w:rsidP="00BC4036">
            <w:pPr>
              <w:numPr>
                <w:ilvl w:val="0"/>
                <w:numId w:val="1"/>
              </w:numPr>
              <w:textAlignment w:val="top"/>
              <w:rPr>
                <w:rFonts w:eastAsia="Times New Roman" w:cstheme="minorHAnsi"/>
                <w:lang w:eastAsia="en-GB"/>
              </w:rPr>
            </w:pPr>
            <w:r w:rsidRPr="00B70DFC">
              <w:rPr>
                <w:rFonts w:eastAsia="Times New Roman" w:cstheme="minorHAnsi"/>
                <w:bdr w:val="none" w:sz="0" w:space="0" w:color="auto" w:frame="1"/>
                <w:lang w:eastAsia="en-GB"/>
              </w:rPr>
              <w:t xml:space="preserve">PSHE </w:t>
            </w:r>
            <w:r>
              <w:rPr>
                <w:rFonts w:eastAsia="Times New Roman" w:cstheme="minorHAnsi"/>
                <w:bdr w:val="none" w:sz="0" w:space="0" w:color="auto" w:frame="1"/>
                <w:lang w:eastAsia="en-GB"/>
              </w:rPr>
              <w:t xml:space="preserve">/RSHE </w:t>
            </w:r>
            <w:r w:rsidRPr="00B70DFC">
              <w:rPr>
                <w:rFonts w:eastAsia="Times New Roman" w:cstheme="minorHAnsi"/>
                <w:bdr w:val="none" w:sz="0" w:space="0" w:color="auto" w:frame="1"/>
                <w:lang w:eastAsia="en-GB"/>
              </w:rPr>
              <w:t>policy</w:t>
            </w:r>
          </w:p>
          <w:p w:rsidR="00904697" w:rsidRPr="00B70DFC" w:rsidRDefault="00904697" w:rsidP="00BC4036">
            <w:pPr>
              <w:numPr>
                <w:ilvl w:val="0"/>
                <w:numId w:val="1"/>
              </w:numPr>
              <w:textAlignment w:val="top"/>
              <w:rPr>
                <w:rFonts w:eastAsia="Times New Roman" w:cstheme="minorHAnsi"/>
                <w:lang w:eastAsia="en-GB"/>
              </w:rPr>
            </w:pPr>
            <w:r w:rsidRPr="00B70DFC">
              <w:rPr>
                <w:rFonts w:eastAsia="Times New Roman" w:cstheme="minorHAnsi"/>
                <w:bdr w:val="none" w:sz="0" w:space="0" w:color="auto" w:frame="1"/>
                <w:lang w:eastAsia="en-GB"/>
              </w:rPr>
              <w:t>Roles and Responsibilities</w:t>
            </w:r>
          </w:p>
          <w:p w:rsidR="00904697" w:rsidRPr="002C3135" w:rsidRDefault="00904697" w:rsidP="00BC4036">
            <w:pPr>
              <w:numPr>
                <w:ilvl w:val="0"/>
                <w:numId w:val="1"/>
              </w:numPr>
              <w:textAlignment w:val="top"/>
              <w:rPr>
                <w:rFonts w:eastAsia="Times New Roman" w:cstheme="minorHAnsi"/>
                <w:lang w:eastAsia="en-GB"/>
              </w:rPr>
            </w:pPr>
            <w:r w:rsidRPr="00B70DFC">
              <w:rPr>
                <w:rFonts w:eastAsia="Times New Roman" w:cstheme="minorHAnsi"/>
                <w:bdr w:val="none" w:sz="0" w:space="0" w:color="auto" w:frame="1"/>
                <w:lang w:eastAsia="en-GB"/>
              </w:rPr>
              <w:t xml:space="preserve">Display </w:t>
            </w:r>
            <w:r>
              <w:rPr>
                <w:rFonts w:eastAsia="Times New Roman" w:cstheme="minorHAnsi"/>
                <w:bdr w:val="none" w:sz="0" w:space="0" w:color="auto" w:frame="1"/>
                <w:lang w:eastAsia="en-GB"/>
              </w:rPr>
              <w:t xml:space="preserve">of the 3 rules </w:t>
            </w:r>
            <w:r w:rsidR="0067448D">
              <w:rPr>
                <w:rFonts w:eastAsia="Times New Roman" w:cstheme="minorHAnsi"/>
                <w:bdr w:val="none" w:sz="0" w:space="0" w:color="auto" w:frame="1"/>
                <w:lang w:eastAsia="en-GB"/>
              </w:rPr>
              <w:t xml:space="preserve">in the learning environment </w:t>
            </w:r>
          </w:p>
          <w:p w:rsidR="00904697" w:rsidRPr="00B70DFC" w:rsidRDefault="00904697" w:rsidP="00BC4036">
            <w:pPr>
              <w:numPr>
                <w:ilvl w:val="0"/>
                <w:numId w:val="1"/>
              </w:numPr>
              <w:textAlignment w:val="top"/>
              <w:rPr>
                <w:rFonts w:eastAsia="Times New Roman" w:cstheme="minorHAnsi"/>
                <w:lang w:eastAsia="en-GB"/>
              </w:rPr>
            </w:pPr>
            <w:r>
              <w:rPr>
                <w:rFonts w:eastAsia="Times New Roman" w:cstheme="minorHAnsi"/>
                <w:lang w:eastAsia="en-GB"/>
              </w:rPr>
              <w:t>Weekly success/celebration assemblies</w:t>
            </w:r>
          </w:p>
          <w:p w:rsidR="00904697" w:rsidRDefault="00904697" w:rsidP="00BC4036">
            <w:pPr>
              <w:pStyle w:val="ListParagraph"/>
              <w:numPr>
                <w:ilvl w:val="0"/>
                <w:numId w:val="1"/>
              </w:numPr>
              <w:rPr>
                <w:rFonts w:cstheme="minorHAnsi"/>
              </w:rPr>
            </w:pPr>
            <w:r>
              <w:rPr>
                <w:rFonts w:cstheme="minorHAnsi"/>
              </w:rPr>
              <w:t>Stars celebrated on weekly newsletter</w:t>
            </w:r>
          </w:p>
          <w:p w:rsidR="00904697" w:rsidRDefault="00904697" w:rsidP="00BC4036">
            <w:pPr>
              <w:pStyle w:val="ListParagraph"/>
              <w:numPr>
                <w:ilvl w:val="0"/>
                <w:numId w:val="1"/>
              </w:numPr>
              <w:rPr>
                <w:rFonts w:cstheme="minorHAnsi"/>
              </w:rPr>
            </w:pPr>
            <w:r>
              <w:rPr>
                <w:rFonts w:cstheme="minorHAnsi"/>
              </w:rPr>
              <w:t>Half termly curriculum celebration assembly</w:t>
            </w:r>
          </w:p>
          <w:p w:rsidR="00904697" w:rsidRPr="00C82820" w:rsidRDefault="00904697" w:rsidP="00C82820">
            <w:pPr>
              <w:pStyle w:val="ListParagraph"/>
              <w:numPr>
                <w:ilvl w:val="0"/>
                <w:numId w:val="1"/>
              </w:numPr>
              <w:rPr>
                <w:rFonts w:cstheme="minorHAnsi"/>
              </w:rPr>
            </w:pPr>
            <w:r>
              <w:rPr>
                <w:rFonts w:cstheme="minorHAnsi"/>
              </w:rPr>
              <w:t xml:space="preserve">Curriculum awards </w:t>
            </w:r>
          </w:p>
          <w:p w:rsidR="00904697" w:rsidRDefault="00904697" w:rsidP="00BC4036">
            <w:pPr>
              <w:pStyle w:val="ListParagraph"/>
              <w:numPr>
                <w:ilvl w:val="0"/>
                <w:numId w:val="1"/>
              </w:numPr>
              <w:rPr>
                <w:rFonts w:cstheme="minorHAnsi"/>
              </w:rPr>
            </w:pPr>
            <w:r>
              <w:rPr>
                <w:rFonts w:cstheme="minorHAnsi"/>
              </w:rPr>
              <w:t>Celebrating cultural difference</w:t>
            </w:r>
            <w:r w:rsidR="00C82820">
              <w:rPr>
                <w:rFonts w:cstheme="minorHAnsi"/>
              </w:rPr>
              <w:t>s</w:t>
            </w:r>
            <w:r>
              <w:rPr>
                <w:rFonts w:cstheme="minorHAnsi"/>
              </w:rPr>
              <w:t xml:space="preserve"> through</w:t>
            </w:r>
            <w:r w:rsidR="00C82820">
              <w:rPr>
                <w:rFonts w:cstheme="minorHAnsi"/>
              </w:rPr>
              <w:t xml:space="preserve"> the curriculum </w:t>
            </w:r>
          </w:p>
          <w:p w:rsidR="00904697" w:rsidRPr="00B70DFC" w:rsidRDefault="00904697" w:rsidP="00BC4036">
            <w:pPr>
              <w:pStyle w:val="ListParagraph"/>
              <w:numPr>
                <w:ilvl w:val="0"/>
                <w:numId w:val="1"/>
              </w:numPr>
              <w:rPr>
                <w:rFonts w:cstheme="minorHAnsi"/>
              </w:rPr>
            </w:pPr>
            <w:r w:rsidRPr="00B70DFC">
              <w:rPr>
                <w:rFonts w:cstheme="minorHAnsi"/>
              </w:rPr>
              <w:t>Festivals (harvest, Christmas Eid</w:t>
            </w:r>
            <w:r w:rsidR="0067448D">
              <w:rPr>
                <w:rFonts w:cstheme="minorHAnsi"/>
              </w:rPr>
              <w:t>, Chinese New Year, Diwali)</w:t>
            </w:r>
          </w:p>
          <w:p w:rsidR="00904697" w:rsidRDefault="00904697" w:rsidP="00BC4036">
            <w:pPr>
              <w:pStyle w:val="ListParagraph"/>
              <w:numPr>
                <w:ilvl w:val="0"/>
                <w:numId w:val="1"/>
              </w:numPr>
              <w:rPr>
                <w:rFonts w:cstheme="minorHAnsi"/>
              </w:rPr>
            </w:pPr>
            <w:r>
              <w:rPr>
                <w:rFonts w:cstheme="minorHAnsi"/>
              </w:rPr>
              <w:t xml:space="preserve">Community visits </w:t>
            </w:r>
            <w:r w:rsidR="0067448D">
              <w:rPr>
                <w:rFonts w:cstheme="minorHAnsi"/>
              </w:rPr>
              <w:t xml:space="preserve">/ school events </w:t>
            </w:r>
          </w:p>
          <w:p w:rsidR="00904697" w:rsidRPr="00801300" w:rsidRDefault="00904697" w:rsidP="00801300">
            <w:pPr>
              <w:rPr>
                <w:rFonts w:cstheme="minorHAnsi"/>
              </w:rPr>
            </w:pPr>
          </w:p>
        </w:tc>
      </w:tr>
    </w:tbl>
    <w:p w:rsidR="00801300" w:rsidRDefault="00801300" w:rsidP="00801300">
      <w:pPr>
        <w:jc w:val="center"/>
        <w:rPr>
          <w:sz w:val="24"/>
          <w:szCs w:val="24"/>
        </w:rPr>
      </w:pPr>
    </w:p>
    <w:p w:rsidR="00801300" w:rsidRDefault="00801300" w:rsidP="00801300">
      <w:pPr>
        <w:shd w:val="clear" w:color="auto" w:fill="FFFFFF" w:themeFill="background1"/>
        <w:jc w:val="center"/>
        <w:rPr>
          <w:sz w:val="24"/>
          <w:szCs w:val="24"/>
        </w:rPr>
      </w:pPr>
    </w:p>
    <w:p w:rsidR="00801300" w:rsidRDefault="00801300" w:rsidP="00801300">
      <w:pPr>
        <w:jc w:val="center"/>
        <w:rPr>
          <w:rFonts w:ascii="Calibri" w:hAnsi="Calibri" w:cs="Calibri"/>
          <w:color w:val="1B1B1B"/>
          <w:sz w:val="23"/>
          <w:szCs w:val="23"/>
          <w:shd w:val="clear" w:color="auto" w:fill="F7F3E6"/>
        </w:rPr>
      </w:pPr>
    </w:p>
    <w:p w:rsidR="00B65BAB" w:rsidRDefault="00B65BAB"/>
    <w:sectPr w:rsidR="00B65BAB" w:rsidSect="008013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FA0"/>
    <w:multiLevelType w:val="hybridMultilevel"/>
    <w:tmpl w:val="D4B6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DB23B6"/>
    <w:multiLevelType w:val="hybridMultilevel"/>
    <w:tmpl w:val="8C226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520F9D"/>
    <w:multiLevelType w:val="hybridMultilevel"/>
    <w:tmpl w:val="3F841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7C2E15"/>
    <w:multiLevelType w:val="hybridMultilevel"/>
    <w:tmpl w:val="2AAA2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A30492"/>
    <w:multiLevelType w:val="hybridMultilevel"/>
    <w:tmpl w:val="EF6A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87E7E"/>
    <w:multiLevelType w:val="hybridMultilevel"/>
    <w:tmpl w:val="0856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31897"/>
    <w:multiLevelType w:val="hybridMultilevel"/>
    <w:tmpl w:val="041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753214"/>
    <w:multiLevelType w:val="hybridMultilevel"/>
    <w:tmpl w:val="F10C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4263A"/>
    <w:multiLevelType w:val="hybridMultilevel"/>
    <w:tmpl w:val="6CD2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0186B"/>
    <w:multiLevelType w:val="hybridMultilevel"/>
    <w:tmpl w:val="DDE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634E78"/>
    <w:multiLevelType w:val="hybridMultilevel"/>
    <w:tmpl w:val="4322BC1C"/>
    <w:lvl w:ilvl="0" w:tplc="E2A8C3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8E08E7"/>
    <w:multiLevelType w:val="hybridMultilevel"/>
    <w:tmpl w:val="5940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15D21"/>
    <w:multiLevelType w:val="hybridMultilevel"/>
    <w:tmpl w:val="0702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2"/>
  </w:num>
  <w:num w:numId="6">
    <w:abstractNumId w:val="6"/>
  </w:num>
  <w:num w:numId="7">
    <w:abstractNumId w:val="3"/>
  </w:num>
  <w:num w:numId="8">
    <w:abstractNumId w:val="4"/>
  </w:num>
  <w:num w:numId="9">
    <w:abstractNumId w:val="5"/>
  </w:num>
  <w:num w:numId="10">
    <w:abstractNumId w:val="7"/>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00"/>
    <w:rsid w:val="0067448D"/>
    <w:rsid w:val="00801300"/>
    <w:rsid w:val="00876347"/>
    <w:rsid w:val="00904697"/>
    <w:rsid w:val="00B65BAB"/>
    <w:rsid w:val="00C82820"/>
    <w:rsid w:val="00C8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FCCA"/>
  <w15:chartTrackingRefBased/>
  <w15:docId w15:val="{AB18DCC0-6678-4F12-BEF1-50FB4C9D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13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01300"/>
    <w:pPr>
      <w:ind w:left="720"/>
      <w:contextualSpacing/>
    </w:pPr>
  </w:style>
  <w:style w:type="character" w:styleId="Strong">
    <w:name w:val="Strong"/>
    <w:basedOn w:val="DefaultParagraphFont"/>
    <w:uiPriority w:val="22"/>
    <w:qFormat/>
    <w:rsid w:val="00801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2023-01-03T11:52:00Z</dcterms:created>
  <dcterms:modified xsi:type="dcterms:W3CDTF">2023-01-03T13:09:00Z</dcterms:modified>
</cp:coreProperties>
</file>